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280</w:t>
      </w:r>
    </w:p>
    <w:p>
      <w:r>
        <w:t>Bundesgericht (BGE), 1993-10-11, FR</w:t>
      </w:r>
    </w:p>
    <w:p>
      <w:r>
        <w:rPr>
          <w:b/>
        </w:rPr>
        <w:t xml:space="preserve">Quelle: </w:t>
      </w:r>
      <w:r>
        <w:t>https://mcp.opencaselaw.ch/entscheid/bge_120 II 280</w:t>
      </w:r>
    </w:p>
    <w:p>
      <w:r>
        <w:t>FR: ATF 120 II 280</w:t>
      </w:r>
    </w:p>
    <w:p>
      <w:r>
        <w:t>IT: DTF 120 II 280</w:t>
      </w:r>
    </w:p>
    <w:p>
      <w:pPr>
        <w:pStyle w:val="Heading2"/>
      </w:pPr>
      <w:r>
        <w:t>Regeste</w:t>
      </w:r>
    </w:p>
    <w:p>
      <w:r>
        <w:t>Regeste Art. 165 ZGB. Ausserordentliche Beiträge eines Ehegatten an den Unterhalt der Familie. Die Ehefrau eines Handwerkers, die, wie eine entlöhnte Sekretärin, regelmässig täglich mehrere Stunden im Unternehmen des Ehemannes die administrativen Arbeiten besorgt, hat Anspruch auf Entgelt. Die Zusprechung einer angemessenen Entschädigung an die Ehefrau, die mit ihrer Arbeit über lange Zeit in bedeutendem Masse zur Aufbesserung der wirtschaftlichen Verhältnisse des Haushalts beigetragen hat, rechtfertigt sich erst recht, wenn die Ehegatten in Gütertrennung leben (E. 6).</w:t>
      </w:r>
    </w:p>
    <w:p>
      <w:pPr>
        <w:pStyle w:val="Heading2"/>
      </w:pPr>
      <w:r>
        <w:t>Erwägungen</w:t>
      </w:r>
    </w:p>
    <w:p>
      <w:r>
        <w:rPr>
          <w:b/>
        </w:rPr>
        <w:t>E. 6</w:t>
      </w:r>
    </w:p>
    <w:p>
      <w:r>
        <w:t>Le recourant reproche encore à la Cour de justice d'avoir alloué à son épouse, en violation de l' art. 165 CC , une indemnité fondée sur cette disposition. a) En vertu de leur devoir général d'assistance ( art. 159 al. 3 CC ), mari et femme contribuent selon leurs facultés à l'entretien de la famille ( art. 163 al. 1 CC ). Selon leur accord, cette contribution peut consister dans l'aide qu'un époux prête à son conjoint dans sa profession ou son entreprise ( art. 163 al. 2 CC ). Exercée dans ce cadre, l'aide apportée à l'un des époux ne donne droit à aucune rémunération, sous réserve du droit éventuel à un montant libre à disposition au sens de l' art. 164 CC (GROSSEN, Le statut patrimonial de base, Les effets généraux du mariage, in Le nouveau droit du mariage, CEDIDAC 1987, p. 20; HAUSHEER/REUSSER/GEISER, Kommentar zum Eherecht, vol. I, 1988, n. 12 ad art. 165 CC , p. 211). En revanche, dès lors que, en l'absence de tout contrat de travail, l'aide fournie par l'un des époux dans l'entreprise de son conjoint dépasse ce que le devoir général d'assistance permet normalement d'exiger de lui, l'équité commande que cette contribution accrue fasse l'objet d'une compensation pécuniaire au sens de l' art. 165 CC (DESCHENAUX/STEINAUER, Le nouveau droit matrimonial, 1987, p. 66; WESSNER, La collaboration professionnelle entre époux dans le nouveau droit matrimonial, in Problèmes du droit de la famille, 1987, p. 182; HAUSHEER, Arbeitsleistungen in Beruf und Gewerbe unter Ehegatten de lege lata et ferenda, in Festschrift für Frank Vischer, 1983, pp. 410/411). L'al. 1er de l' art. 165 CC prévoit en effet que l'époux qui a collaboré à la profession ou à l'entreprise de son conjoint dans une mesure notablement supérieure à ce qu'exige sa contribution à l'entretien de la famille a droit à une équitable indemnité. Cette référence à l'équité a déjà conduit le Tribunal fédéral à atténuer sa jurisprudence - souvent critiquée - consistant à refuser en principe tout droit au salaire fondé sur l' art. 320 al. 2 CO à la femme qui collabore à la profession de son mari. Il a ainsi été jugé que lorsqu'en raison de circonstances particulières, les efforts d'un époux n'apparaissent pas suffisamment compensés par l'élévation de son niveau de vie, ainsi que par ses droits en cas de liquidation du régime matrimonial et ses espérances successorales, sa collaboration doit être rétribuée dans la mesure où elle excède les limites de son devoir BGE 120 II 280 S. 283 d'assistance dans une mesure "notablement supérieure" à ce qui peut être exigé de lui ( ATF 113 II 414 consid. 2 pp. 417/418 et les références). A défaut d'accord entre les époux sur la répartition de leurs tâches (BRÄM/HASENBÖHLER, n. 8 ad art. 165 CC ; HAUSHEER/REUSSER/GEISER, op.cit., n. 12 s. ad art. 165 CC , pp. 165 ss),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(HAUSHEER/REUSSER/GEISER, op.cit., n. 12 ss ad art. 165 CC , pp. 165 ss). Il importe d'évaluer dans chaque cas la nature et l'ampleur de la collaboration professionnelle, en la mettant en rapport avec les autres prestations fournies comme contribution ordinaire aux charges du mariage (WESSNER, op.cit., p. 184). A cet égard, l' art. 165 CC pose de manière générale des conditions moins rigoureuses que l' art. 320 al. 2 CO (GROSSEN, op.cit., p. 20). En l'absence de critères généraux applicables dans ce domaine, le juge statue en équité en se fondant sur les particularités importantes de l'espèce ( art. 4 CC ; BRÄM/HASENBÖHLER, n. 10 ad art. 165 CC ). La nature et la mesure de la participation de l'un des conjoints à l'activité professionnelle de l'autre relèvent du domaine des faits, et sont donc des questions soustraites à l'examen de la juridiction de réforme ( art. 63 al. 2 OJ ); savoir si cette collaboration est "notablement supérieure" aux obligations découlant des devoirs généraux du mariage est, en revanche, un point de droit que le Tribunal fédéral peut revoir librement. Il s'imposera toutefois une certaine retenue vu le pouvoir d'appréciation laissé au juge en cette matière, et n'interviendra que si la décision entreprise s'appuie sur des faits sans pertinence ou si, au contraire, elle ne tient pas compte d'éléments qui auraient dû être pris en considération. b) La Cour de justice a retenu en fait que la demanderesse avait travaillé dans l'entreprise de peinture de son mari "non seulement pour dactylographier quelques factures mais également pour préparer des devis, pour répondre au téléphone durant les heures de travail de son époux qui se trouvait normalement sur les chantiers", et qu'elle effectuait en outre certains transports. Selon l'autorité cantonale, sa présence "donnait l'impression d'une entreprise organisée, atteignable facilement". Elle accomplissait ainsi la tâche d'une secrétaire rémunérée, disposant à cet effet d'un bureau, en plus de l'éducation de ses deux enfants et de l'entretien du ménage. Les époux étant séparés de biens, il se justifiait BGE 120 II 280 S. 284 d'autant plus d'accorder une indemnité à l'épouse qui, par son travail à long terme, avait manifestement contribué à l'aisance de la famille. Vu ces circonstances, les conditions d'application de l' art. 165 CC étaient en l'occurrence réunies. Le défendeur soutient que l'aide en question représentait tout au plus une semaine de travail par année, sa femme ayant d'ailleurs toujours admis qu'il s'agissait d'une activité gratuite. En outre, celle-ci a déjà été rémunérée de par l'entretien dont elle a bénéficié et les économies qu'elle a réalisées durant le mariage. L'autorité cantonale a dès lors violé l' art. 165 CC en admettant l'existence d'une collaboration "notablement supérieure" aux devoirs usuels d'assistance entre conjoints. c) Par ces critiques, le recourant s'en prend aux constatations de fait de la Cour de justice, ce qui n'est pas admissible dans un recours en réforme ( art. 63 al. 2 OJ ). De plus, il ne démontre pas en quoi l'autorité cantonale aurait violé le droit fédéral ou excédé son pouvoir d'appréciation. Par conséquent, la motivation de son mémoire ne satisfait guère aux exigences de l' art. 55 al. 1 let . c OJ. La question peut cependant rester indécise, car le recours se révèle de toute façon mal fondé. L'autorité cantonale a en effet retenu pour statuer, dans le cadre de son pouvoir d'appréciation, des circonstances propres à fonder sa décision. La régularité et l'importance du travail accompli par la demanderesse, le fait qu'elle disposait d'un bureau, qu'elle assurait une permanence en l'absence de son mari et que ces tâches correspondaient, selon l'arrêt entrepris, à l'activité d'une secrétaire rémunérée, constituent autant d'éléments qui autorisaient la Cour de justice à admettre l'existence d'une collaboration au sens de l' art. 165 CC . Même si cette aide s'est imposée au début du mariage par souci de rentabilité ou de nécessité, ce qui est fréquent dans les petites entreprises, l'activité de la demanderesse ne doit pas pour autant être considérée comme gratuite (BRÄM/HASENBÖHLER, n. 10 ad art. 165 CC ). La procédure n'a d'ailleurs pas permis d'établir l'existence d'un accord sur ce point et le recourant s'écarte des constatations de la Cour de justice lorsqu'il soutient que sa femme avait admis travailler gratuitement. Comme l'a retenu avec raison l'autorité cantonale, la solution adoptée peut également se justifier pour des motifs d'équité: en collaborant à l'entreprise de son mari, la demanderesse a contribué à améliorer de manière significative la situation économique du ménage. Parti de rien avec BGE 120 II 280 S. 285 son épouse, le défendeur a en effet acquis pendant le mariage des immeubles dont il est le seul propriétaire. Les conjoints s'étant mariés sous le régime de la séparation de biens, le divorce ne permettra pas à la demanderesse de participer au bénéfice dû à son travail. C'est précisément pour éviter une telle conséquence, qui peut être ressentie comme une injustice, que le législateur a adopté la règle de l' art. 165 CC (WESSNER, op.cit., pp. 182/183; HASENBÖHLER, Lohn für Ehegatten-Mitarbeit, in Festschrift für Frank Vischer, p. 393; HAUSHEER, op.cit., p. 411; NÄF/HOFMANN, Partnerschaft als Leitbild der Ehe, n. 41, pp. 23/24; cf. aussi les références citées par ces auteurs, notamment le Message du Conseil fédéral du 11 juillet 1979, FF 1979 II 1234ss). L'épouse a certes bénéficié au cours des années de l'amélioration du niveau de vie familial, dont le mari a d'ailleurs également profité. Cette constatation ne suffit cependant pas à rétablir une situation équitable entre les époux et ne permet pas de refuser à la demanderesse toute autre forme de rémunération. Il en est certes tenu compte dans la fixation du montant accordé à ce titre ( ATF 113 II 414 consid. 2 p. 418). Toutefois, le défendeur ne conteste pas la quotité de l'indemnité allouée, qui paraît proportionnée aux moyens du débiteur et à l'importance de la collaboration telle qu'elle ressort des constatations de la Cour de justice. Enfin, contrairement à ce qu'affirme le recourant, il ne résulte pas de l'arrêt entrepris que son épouse aurait réalisé des économies en raison même de sa collaboration professionnelle, circonstance qui n'est du reste prise en compte que dans la fixation du montant de l'indemnité. Ses critiques ne résistent donc pas à l'examen.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